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38" w:rsidRDefault="00E62D67" w:rsidP="002541FA">
      <w:pPr>
        <w:spacing w:after="0" w:line="240" w:lineRule="auto"/>
        <w:jc w:val="center"/>
        <w:rPr>
          <w:rFonts w:ascii="Times New Roman" w:hAnsi="Times New Roman"/>
          <w:b/>
          <w:sz w:val="28"/>
          <w:szCs w:val="28"/>
        </w:rPr>
      </w:pPr>
      <w:r w:rsidRPr="00E62D67">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8pt;margin-top:-17.85pt;width:477.5pt;height:16.7pt;z-index:251660288" stroked="f">
            <v:textbox>
              <w:txbxContent>
                <w:p w:rsidR="00E70538" w:rsidRDefault="00E70538" w:rsidP="00E70538"/>
              </w:txbxContent>
            </v:textbox>
          </v:shape>
        </w:pict>
      </w:r>
      <w:r w:rsidR="00E70538" w:rsidRPr="00B50A41">
        <w:rPr>
          <w:rFonts w:ascii="Times New Roman" w:hAnsi="Times New Roman"/>
          <w:b/>
          <w:sz w:val="28"/>
          <w:szCs w:val="28"/>
        </w:rPr>
        <w:t xml:space="preserve">STUDY ON </w:t>
      </w:r>
      <w:r w:rsidR="00E70538" w:rsidRPr="0040414E">
        <w:rPr>
          <w:rFonts w:ascii="Times New Roman" w:hAnsi="Times New Roman"/>
          <w:b/>
          <w:sz w:val="28"/>
          <w:szCs w:val="28"/>
        </w:rPr>
        <w:t xml:space="preserve">AUTOMOTIVE ENGINES AND DIESEL EQUIPMENT </w:t>
      </w:r>
      <w:r w:rsidR="00E70538" w:rsidRPr="00B50A41">
        <w:rPr>
          <w:rFonts w:ascii="Times New Roman" w:hAnsi="Times New Roman"/>
          <w:b/>
          <w:sz w:val="28"/>
          <w:szCs w:val="28"/>
        </w:rPr>
        <w:t>ALLOY FATIGUE OF PLASMA BEHAVIOUR YTTRIA-ZIRCONIA THERMAL SPRAYED</w:t>
      </w:r>
    </w:p>
    <w:p w:rsidR="00E70538" w:rsidRPr="00B50A41" w:rsidRDefault="00E70538" w:rsidP="002541FA">
      <w:pPr>
        <w:spacing w:after="0" w:line="240" w:lineRule="auto"/>
        <w:jc w:val="center"/>
        <w:rPr>
          <w:rFonts w:ascii="Times New Roman" w:hAnsi="Times New Roman"/>
          <w:b/>
          <w:sz w:val="20"/>
          <w:szCs w:val="20"/>
        </w:rPr>
      </w:pPr>
    </w:p>
    <w:p w:rsidR="00E70538" w:rsidRPr="00B50A41" w:rsidRDefault="00E70538" w:rsidP="002541FA">
      <w:pPr>
        <w:spacing w:after="0"/>
        <w:jc w:val="center"/>
        <w:rPr>
          <w:b/>
          <w:sz w:val="20"/>
          <w:szCs w:val="20"/>
        </w:rPr>
      </w:pPr>
      <w:r w:rsidRPr="00B50A41">
        <w:rPr>
          <w:b/>
          <w:sz w:val="20"/>
          <w:szCs w:val="20"/>
          <w:vertAlign w:val="superscript"/>
        </w:rPr>
        <w:t>1</w:t>
      </w:r>
      <w:r w:rsidRPr="00B50A41">
        <w:rPr>
          <w:b/>
          <w:sz w:val="20"/>
          <w:szCs w:val="20"/>
        </w:rPr>
        <w:t>DIP</w:t>
      </w:r>
      <w:r>
        <w:rPr>
          <w:b/>
          <w:sz w:val="20"/>
          <w:szCs w:val="20"/>
        </w:rPr>
        <w:t>I</w:t>
      </w:r>
      <w:r w:rsidRPr="00B50A41">
        <w:rPr>
          <w:b/>
          <w:sz w:val="20"/>
          <w:szCs w:val="20"/>
        </w:rPr>
        <w:t>K</w:t>
      </w:r>
      <w:r>
        <w:rPr>
          <w:b/>
          <w:sz w:val="20"/>
          <w:szCs w:val="20"/>
        </w:rPr>
        <w:t>A</w:t>
      </w:r>
      <w:r w:rsidRPr="00B50A41">
        <w:rPr>
          <w:b/>
          <w:sz w:val="20"/>
          <w:szCs w:val="20"/>
        </w:rPr>
        <w:t xml:space="preserve"> KUMAR</w:t>
      </w:r>
      <w:r>
        <w:rPr>
          <w:b/>
          <w:sz w:val="20"/>
          <w:szCs w:val="20"/>
        </w:rPr>
        <w:t>I</w:t>
      </w:r>
      <w:r w:rsidRPr="00B50A41">
        <w:rPr>
          <w:b/>
          <w:sz w:val="20"/>
          <w:szCs w:val="20"/>
        </w:rPr>
        <w:t xml:space="preserve">, </w:t>
      </w:r>
      <w:r w:rsidRPr="00B50A41">
        <w:rPr>
          <w:b/>
          <w:sz w:val="20"/>
          <w:szCs w:val="20"/>
          <w:vertAlign w:val="superscript"/>
        </w:rPr>
        <w:t>2</w:t>
      </w:r>
      <w:r w:rsidRPr="00B50A41">
        <w:rPr>
          <w:b/>
          <w:sz w:val="20"/>
          <w:szCs w:val="20"/>
        </w:rPr>
        <w:t>K</w:t>
      </w:r>
      <w:r>
        <w:rPr>
          <w:b/>
          <w:sz w:val="20"/>
          <w:szCs w:val="20"/>
        </w:rPr>
        <w:t>UMAR</w:t>
      </w:r>
      <w:r w:rsidRPr="00B50A41">
        <w:rPr>
          <w:b/>
          <w:sz w:val="20"/>
          <w:szCs w:val="20"/>
        </w:rPr>
        <w:t>.N</w:t>
      </w:r>
      <w:r>
        <w:rPr>
          <w:b/>
          <w:sz w:val="20"/>
          <w:szCs w:val="20"/>
        </w:rPr>
        <w:t>P</w:t>
      </w:r>
      <w:r w:rsidRPr="00B50A41">
        <w:rPr>
          <w:b/>
          <w:sz w:val="20"/>
          <w:szCs w:val="20"/>
        </w:rPr>
        <w:t>.PANDEY</w:t>
      </w:r>
    </w:p>
    <w:p w:rsidR="00E70538" w:rsidRPr="00B50A41" w:rsidRDefault="00E70538" w:rsidP="002541FA">
      <w:pPr>
        <w:spacing w:after="0"/>
        <w:jc w:val="center"/>
        <w:rPr>
          <w:sz w:val="18"/>
          <w:szCs w:val="18"/>
        </w:rPr>
      </w:pPr>
    </w:p>
    <w:p w:rsidR="00E70538" w:rsidRPr="00B50A41" w:rsidRDefault="00E70538" w:rsidP="002541FA">
      <w:pPr>
        <w:spacing w:after="0"/>
        <w:jc w:val="center"/>
        <w:rPr>
          <w:sz w:val="18"/>
          <w:szCs w:val="18"/>
        </w:rPr>
      </w:pPr>
      <w:r w:rsidRPr="001E6157">
        <w:rPr>
          <w:sz w:val="18"/>
          <w:szCs w:val="18"/>
          <w:vertAlign w:val="superscript"/>
        </w:rPr>
        <w:t>1,2</w:t>
      </w:r>
      <w:r w:rsidRPr="00B50A41">
        <w:rPr>
          <w:sz w:val="18"/>
          <w:szCs w:val="18"/>
        </w:rPr>
        <w:t>Mechanical Engineering Department M</w:t>
      </w:r>
      <w:r>
        <w:rPr>
          <w:sz w:val="18"/>
          <w:szCs w:val="18"/>
        </w:rPr>
        <w:t>WWW</w:t>
      </w:r>
      <w:r w:rsidRPr="00B50A41">
        <w:rPr>
          <w:sz w:val="18"/>
          <w:szCs w:val="18"/>
        </w:rPr>
        <w:t>NNI</w:t>
      </w:r>
      <w:r>
        <w:rPr>
          <w:sz w:val="18"/>
          <w:szCs w:val="18"/>
        </w:rPr>
        <w:t>III</w:t>
      </w:r>
      <w:r w:rsidRPr="00B50A41">
        <w:rPr>
          <w:sz w:val="18"/>
          <w:szCs w:val="18"/>
        </w:rPr>
        <w:t>T</w:t>
      </w:r>
      <w:r>
        <w:rPr>
          <w:sz w:val="18"/>
          <w:szCs w:val="18"/>
        </w:rPr>
        <w:t xml:space="preserve"> Australia</w:t>
      </w:r>
    </w:p>
    <w:p w:rsidR="00E70538" w:rsidRPr="00B50A41" w:rsidRDefault="00E70538" w:rsidP="002541FA">
      <w:pPr>
        <w:spacing w:after="0"/>
        <w:jc w:val="center"/>
        <w:rPr>
          <w:sz w:val="18"/>
          <w:szCs w:val="18"/>
          <w:lang w:eastAsia="zh-TW"/>
        </w:rPr>
      </w:pPr>
      <w:r w:rsidRPr="00B50A41">
        <w:rPr>
          <w:sz w:val="18"/>
          <w:szCs w:val="18"/>
        </w:rPr>
        <w:t xml:space="preserve">Email: </w:t>
      </w:r>
      <w:r w:rsidRPr="00B50A41">
        <w:rPr>
          <w:sz w:val="18"/>
          <w:szCs w:val="18"/>
          <w:vertAlign w:val="superscript"/>
        </w:rPr>
        <w:t>1</w:t>
      </w:r>
      <w:r>
        <w:rPr>
          <w:sz w:val="18"/>
          <w:szCs w:val="18"/>
        </w:rPr>
        <w:t>xxxxxx</w:t>
      </w:r>
      <w:r w:rsidRPr="00B50A41">
        <w:rPr>
          <w:sz w:val="18"/>
          <w:szCs w:val="18"/>
        </w:rPr>
        <w:t xml:space="preserve">@gmail.com, </w:t>
      </w:r>
      <w:r w:rsidRPr="00B50A41">
        <w:rPr>
          <w:sz w:val="18"/>
          <w:szCs w:val="18"/>
          <w:vertAlign w:val="superscript"/>
        </w:rPr>
        <w:t>2</w:t>
      </w:r>
      <w:r>
        <w:rPr>
          <w:sz w:val="18"/>
          <w:szCs w:val="18"/>
        </w:rPr>
        <w:t>xxxxxx</w:t>
      </w:r>
      <w:r w:rsidRPr="00B50A41">
        <w:rPr>
          <w:sz w:val="18"/>
          <w:szCs w:val="18"/>
        </w:rPr>
        <w:t>@gmail.com</w:t>
      </w:r>
    </w:p>
    <w:p w:rsidR="00E70538" w:rsidRPr="00B50A41" w:rsidRDefault="00E70538" w:rsidP="00E70538">
      <w:pPr>
        <w:spacing w:after="0" w:line="240" w:lineRule="auto"/>
        <w:jc w:val="center"/>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jc w:val="both"/>
        <w:rPr>
          <w:rFonts w:ascii="Times New Roman" w:hAnsi="Times New Roman"/>
          <w:b/>
          <w:sz w:val="18"/>
          <w:szCs w:val="18"/>
        </w:rPr>
      </w:pPr>
    </w:p>
    <w:p w:rsidR="00E70538" w:rsidRPr="00D85E58" w:rsidRDefault="00E70538" w:rsidP="00E70538">
      <w:pPr>
        <w:pBdr>
          <w:top w:val="single" w:sz="4" w:space="1" w:color="auto"/>
          <w:bottom w:val="single" w:sz="4" w:space="1" w:color="auto"/>
        </w:pBdr>
        <w:spacing w:after="0" w:line="240" w:lineRule="auto"/>
        <w:jc w:val="both"/>
        <w:rPr>
          <w:rFonts w:ascii="Times New Roman" w:hAnsi="Times New Roman"/>
          <w:b/>
          <w:bCs/>
          <w:i/>
          <w:sz w:val="18"/>
          <w:szCs w:val="18"/>
        </w:rPr>
      </w:pPr>
      <w:r w:rsidRPr="00B50A41">
        <w:rPr>
          <w:rFonts w:ascii="Times New Roman" w:hAnsi="Times New Roman"/>
          <w:b/>
          <w:sz w:val="18"/>
          <w:szCs w:val="18"/>
        </w:rPr>
        <w:t>Abstract</w:t>
      </w:r>
      <w:r>
        <w:rPr>
          <w:rFonts w:ascii="Times New Roman" w:hAnsi="Times New Roman"/>
          <w:b/>
          <w:sz w:val="18"/>
          <w:szCs w:val="18"/>
        </w:rPr>
        <w:t xml:space="preserve">: </w:t>
      </w:r>
      <w:r w:rsidRPr="00D85E58">
        <w:rPr>
          <w:rFonts w:ascii="Times New Roman" w:hAnsi="Times New Roman"/>
          <w:bCs/>
          <w:sz w:val="18"/>
          <w:szCs w:val="18"/>
        </w:rPr>
        <w:t>These instructions give you guidelines for preparing papers for the International conference  ICCSE)</w:t>
      </w:r>
      <w:r w:rsidRPr="00D85E58">
        <w:rPr>
          <w:rFonts w:ascii="Times New Roman" w:hAnsi="Times New Roman"/>
          <w:bCs/>
          <w:iCs/>
          <w:sz w:val="18"/>
          <w:szCs w:val="18"/>
        </w:rPr>
        <w:t>.</w:t>
      </w:r>
      <w:r w:rsidRPr="00D85E58">
        <w:rPr>
          <w:rFonts w:ascii="Times New Roman" w:hAnsi="Times New Roman"/>
          <w:bCs/>
          <w:sz w:val="18"/>
          <w:szCs w:val="18"/>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r w:rsidRPr="00B50A41">
        <w:rPr>
          <w:rFonts w:ascii="Times New Roman" w:hAnsi="Times New Roman"/>
          <w:b/>
          <w:sz w:val="18"/>
          <w:szCs w:val="18"/>
        </w:rPr>
        <w:t>Keywords</w:t>
      </w:r>
      <w:r w:rsidRPr="00B50A41">
        <w:rPr>
          <w:rFonts w:ascii="Times New Roman" w:hAnsi="Times New Roman"/>
          <w:sz w:val="18"/>
          <w:szCs w:val="18"/>
        </w:rPr>
        <w:t>: Aluminium Alloys, Plasma Spray, Thermal Barrier Coatings, Thermal Fatigue, Yttria-Zirconia.</w:t>
      </w:r>
    </w:p>
    <w:p w:rsidR="00E70538" w:rsidRPr="00B50A41"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spacing w:after="0" w:line="240" w:lineRule="auto"/>
        <w:rPr>
          <w:rFonts w:ascii="Times New Roman" w:hAnsi="Times New Roman"/>
          <w:b/>
        </w:rPr>
        <w:sectPr w:rsidR="00E70538" w:rsidSect="00E7053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1152" w:footer="720" w:gutter="0"/>
          <w:pgNumType w:start="1"/>
          <w:cols w:space="360"/>
          <w:docGrid w:linePitch="360"/>
        </w:sectPr>
      </w:pPr>
    </w:p>
    <w:p w:rsidR="00E70538" w:rsidRDefault="00E70538" w:rsidP="00E70538">
      <w:pPr>
        <w:spacing w:after="0" w:line="240" w:lineRule="auto"/>
        <w:rPr>
          <w:rFonts w:ascii="Times New Roman" w:hAnsi="Times New Roman"/>
          <w:b/>
        </w:rPr>
      </w:pPr>
    </w:p>
    <w:p w:rsidR="00E70538" w:rsidRDefault="00E70538" w:rsidP="00E70538">
      <w:pPr>
        <w:numPr>
          <w:ilvl w:val="0"/>
          <w:numId w:val="1"/>
        </w:numPr>
        <w:spacing w:after="0" w:line="240" w:lineRule="auto"/>
        <w:ind w:left="450"/>
        <w:rPr>
          <w:rFonts w:ascii="Times New Roman" w:hAnsi="Times New Roman"/>
          <w:b/>
        </w:rPr>
      </w:pPr>
      <w:r>
        <w:rPr>
          <w:rFonts w:ascii="Times New Roman" w:hAnsi="Times New Roman"/>
          <w:b/>
        </w:rPr>
        <w:t>INTRODUCTION</w:t>
      </w:r>
    </w:p>
    <w:p w:rsidR="00E70538" w:rsidRPr="00B50A41" w:rsidRDefault="00E70538" w:rsidP="00E70538">
      <w:pPr>
        <w:spacing w:after="0" w:line="240" w:lineRule="auto"/>
        <w:rPr>
          <w:rFonts w:ascii="Times New Roman" w:hAnsi="Times New Roman"/>
          <w:b/>
        </w:rPr>
      </w:pPr>
    </w:p>
    <w:p w:rsidR="00E70538" w:rsidRPr="00B50A41" w:rsidRDefault="00E70538" w:rsidP="00E70538">
      <w:pPr>
        <w:spacing w:after="0" w:line="240" w:lineRule="auto"/>
        <w:ind w:firstLine="720"/>
        <w:jc w:val="both"/>
        <w:rPr>
          <w:rFonts w:ascii="Times New Roman" w:hAnsi="Times New Roman"/>
          <w:sz w:val="20"/>
          <w:szCs w:val="20"/>
        </w:rPr>
      </w:pPr>
      <w:r>
        <w:rPr>
          <w:rFonts w:ascii="Times New Roman" w:hAnsi="Times New Roman"/>
          <w:sz w:val="20"/>
          <w:szCs w:val="20"/>
        </w:rPr>
        <w:t>C</w:t>
      </w:r>
      <w:r w:rsidRPr="00B50A41">
        <w:rPr>
          <w:rFonts w:ascii="Times New Roman" w:hAnsi="Times New Roman"/>
          <w:sz w:val="20"/>
          <w:szCs w:val="20"/>
        </w:rPr>
        <w:t xml:space="preserve">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surface are to reduce the heat ﬂux into the piston, to protect the piston from thermal stresses, corrosive attacks due to fuel contaminants and reducing emissions. There are several applications of TBC in SI engines, showing improved performance and emissions. In SI engines, the top surface near the crevice is especially chosen as the place of TBC deposition. Choosing this area also enables to decrease the risk of knocking. The coating thickness has an TBC on diesel components such as valves,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w:t>
      </w:r>
      <w:r w:rsidRPr="00B50A41">
        <w:rPr>
          <w:rFonts w:ascii="Times New Roman" w:hAnsi="Times New Roman"/>
          <w:sz w:val="20"/>
          <w:szCs w:val="20"/>
        </w:rPr>
        <w:t xml:space="preserve">in a direction parallel to the ceramic–bond coat interface (horizontal cracks), which leads to coating delamination. The other typical TBC failure occurs by spalling of the ceramic top coat from the bond coat. Among the various causes of failure of TBC, oxidation and thermal mismatch are identiﬁed as two major factors affecting the life of the coating system. It is observed that the coating surface temperature increase with increasing the thickness in a decreasing rate. As for bond coat surface, increasing </w:t>
      </w:r>
      <w:r w:rsidRPr="00B50A41">
        <w:rPr>
          <w:rFonts w:ascii="Times New Roman" w:hAnsi="Times New Roman"/>
          <w:sz w:val="20"/>
          <w:szCs w:val="20"/>
        </w:rPr>
        <w:lastRenderedPageBreak/>
        <w:t>coating thickness, the normal stress decreases steadily and the maximum shear stress rises in a decreasing rate. Although diesel TBCs operate at lower temperatures than aircraft engines, they are subjected to much greater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ted in the oil- and water-cooling systems.</w:t>
      </w:r>
    </w:p>
    <w:p w:rsidR="00E70538"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The performance of plasma sprayed based YSZ TBCs systems on aluminium alloys is a very important in the automotive industry. In the keeping view of application of aluminum alloys in the automotive industry, the durability of 2024 AA with TBCs systems was studied for high temperature applications. This article investigate the thermal fatigue behaviour of plasma sprayed based YSZ TBCs systems for 2024 aluminium alloy (AA).</w:t>
      </w:r>
    </w:p>
    <w:p w:rsidR="00E70538" w:rsidRPr="00B50A41" w:rsidRDefault="00E70538" w:rsidP="00E70538">
      <w:pPr>
        <w:spacing w:after="0" w:line="240" w:lineRule="auto"/>
        <w:ind w:firstLine="720"/>
        <w:jc w:val="both"/>
        <w:rPr>
          <w:rFonts w:ascii="Times New Roman" w:hAnsi="Times New Roman"/>
          <w:sz w:val="20"/>
          <w:szCs w:val="20"/>
        </w:rPr>
      </w:pPr>
    </w:p>
    <w:p w:rsidR="00E70538" w:rsidRPr="00B50A41" w:rsidRDefault="00E70538" w:rsidP="00E70538">
      <w:pPr>
        <w:numPr>
          <w:ilvl w:val="0"/>
          <w:numId w:val="1"/>
        </w:numPr>
        <w:spacing w:after="0" w:line="240" w:lineRule="auto"/>
        <w:ind w:left="540"/>
        <w:rPr>
          <w:rFonts w:ascii="Times New Roman" w:hAnsi="Times New Roman"/>
          <w:b/>
          <w:sz w:val="20"/>
          <w:szCs w:val="20"/>
        </w:rPr>
      </w:pPr>
      <w:r w:rsidRPr="00B50A41">
        <w:rPr>
          <w:rFonts w:ascii="Times New Roman" w:hAnsi="Times New Roman"/>
          <w:b/>
          <w:sz w:val="20"/>
          <w:szCs w:val="20"/>
        </w:rPr>
        <w:t xml:space="preserve">DETAILS EXPERIMENTAL </w:t>
      </w:r>
    </w:p>
    <w:p w:rsidR="00E70538" w:rsidRDefault="00E70538" w:rsidP="00E70538">
      <w:pPr>
        <w:spacing w:after="0" w:line="240" w:lineRule="auto"/>
        <w:rPr>
          <w:rFonts w:ascii="Times New Roman" w:hAnsi="Times New Roman"/>
          <w:b/>
          <w:sz w:val="20"/>
          <w:szCs w:val="20"/>
        </w:rPr>
      </w:pPr>
    </w:p>
    <w:p w:rsidR="00E70538" w:rsidRPr="00B50A41" w:rsidRDefault="00E70538" w:rsidP="00E70538">
      <w:pPr>
        <w:spacing w:after="0" w:line="240" w:lineRule="auto"/>
        <w:rPr>
          <w:rFonts w:ascii="Times New Roman" w:hAnsi="Times New Roman"/>
          <w:b/>
          <w:sz w:val="20"/>
          <w:szCs w:val="20"/>
        </w:rPr>
      </w:pPr>
      <w:r w:rsidRPr="00B50A41">
        <w:rPr>
          <w:rFonts w:ascii="Times New Roman" w:hAnsi="Times New Roman"/>
          <w:b/>
          <w:sz w:val="20"/>
          <w:szCs w:val="20"/>
        </w:rPr>
        <w:t>2.1. Materials and Procedures</w:t>
      </w:r>
    </w:p>
    <w:p w:rsidR="00E70538" w:rsidRPr="00B50A41" w:rsidRDefault="00E70538" w:rsidP="00E70538">
      <w:pPr>
        <w:spacing w:after="0" w:line="240" w:lineRule="auto"/>
        <w:ind w:firstLine="360"/>
        <w:jc w:val="both"/>
        <w:rPr>
          <w:rFonts w:ascii="Times New Roman" w:hAnsi="Times New Roman"/>
          <w:sz w:val="20"/>
          <w:szCs w:val="20"/>
        </w:rPr>
      </w:pPr>
      <w:r>
        <w:rPr>
          <w:rFonts w:ascii="Times New Roman" w:hAnsi="Times New Roman"/>
          <w:sz w:val="20"/>
          <w:szCs w:val="20"/>
        </w:rPr>
        <w:lastRenderedPageBreak/>
        <w:t>C</w:t>
      </w:r>
      <w:r w:rsidRPr="00B50A41">
        <w:rPr>
          <w:rFonts w:ascii="Times New Roman" w:hAnsi="Times New Roman"/>
          <w:sz w:val="20"/>
          <w:szCs w:val="20"/>
        </w:rPr>
        <w:t xml:space="preserve">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After bond coat, another coat was applied on the surface which is called top coat. Top coat was done of Yttria Stabilized Zirconia (YSZ) by APS. Parameters of top coat parameter are given in </w:t>
      </w:r>
      <w:r w:rsidRPr="00B50A41">
        <w:rPr>
          <w:rFonts w:ascii="Times New Roman" w:hAnsi="Times New Roman"/>
          <w:b/>
          <w:sz w:val="20"/>
          <w:szCs w:val="20"/>
        </w:rPr>
        <w:t>Table 3</w:t>
      </w:r>
      <w:r w:rsidRPr="00B50A41">
        <w:rPr>
          <w:rFonts w:ascii="Times New Roman" w:hAnsi="Times New Roman"/>
          <w:sz w:val="20"/>
          <w:szCs w:val="20"/>
        </w:rPr>
        <w:t>.</w:t>
      </w:r>
    </w:p>
    <w:p w:rsidR="00E70538" w:rsidRPr="00B50A41" w:rsidRDefault="00E70538" w:rsidP="00E70538">
      <w:pPr>
        <w:spacing w:after="0" w:line="240" w:lineRule="auto"/>
        <w:jc w:val="both"/>
        <w:rPr>
          <w:rFonts w:ascii="Times New Roman" w:hAnsi="Times New Roman"/>
          <w:b/>
        </w:rPr>
      </w:pPr>
      <w:r w:rsidRPr="00B50A41">
        <w:rPr>
          <w:rFonts w:ascii="Times New Roman" w:hAnsi="Times New Roman"/>
          <w:b/>
        </w:rPr>
        <w:t>Table1: Chemical Composition of 2024 AA</w:t>
      </w:r>
    </w:p>
    <w:p w:rsidR="00E70538" w:rsidRPr="00B50A41" w:rsidRDefault="00E70538" w:rsidP="00E70538">
      <w:pPr>
        <w:spacing w:after="0" w:line="240" w:lineRule="auto"/>
        <w:jc w:val="both"/>
        <w:rPr>
          <w:rFonts w:ascii="Times New Roman" w:hAnsi="Times New Roman"/>
        </w:rPr>
      </w:pPr>
      <w:r>
        <w:rPr>
          <w:rFonts w:ascii="Times New Roman" w:hAnsi="Times New Roman"/>
          <w:noProof/>
          <w:lang w:val="en-IN" w:eastAsia="en-IN"/>
        </w:rPr>
        <w:drawing>
          <wp:inline distT="0" distB="0" distL="0" distR="0">
            <wp:extent cx="2759075" cy="508635"/>
            <wp:effectExtent l="19050" t="0" r="317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19231" t="45714" r="18590" b="38857"/>
                    <a:stretch>
                      <a:fillRect/>
                    </a:stretch>
                  </pic:blipFill>
                  <pic:spPr bwMode="auto">
                    <a:xfrm>
                      <a:off x="0" y="0"/>
                      <a:ext cx="2759075" cy="508635"/>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ind w:firstLine="360"/>
        <w:jc w:val="both"/>
        <w:rPr>
          <w:rFonts w:ascii="Times New Roman" w:hAnsi="Times New Roman"/>
        </w:rPr>
      </w:pPr>
    </w:p>
    <w:p w:rsidR="00E70538" w:rsidRPr="00B50A41" w:rsidRDefault="00E70538" w:rsidP="00E70538">
      <w:pPr>
        <w:spacing w:after="0" w:line="240" w:lineRule="auto"/>
        <w:jc w:val="center"/>
        <w:rPr>
          <w:rFonts w:ascii="Times New Roman" w:hAnsi="Times New Roman"/>
          <w:b/>
        </w:rPr>
      </w:pPr>
      <w:r w:rsidRPr="00B50A41">
        <w:rPr>
          <w:rFonts w:ascii="Times New Roman" w:hAnsi="Times New Roman"/>
          <w:b/>
        </w:rPr>
        <w:t>Table 2: YSZ top coat Spraying for bond coat</w:t>
      </w:r>
    </w:p>
    <w:p w:rsidR="00E70538" w:rsidRPr="00B50A41" w:rsidRDefault="00E70538" w:rsidP="00E70538">
      <w:pPr>
        <w:spacing w:after="0" w:line="240" w:lineRule="auto"/>
        <w:jc w:val="both"/>
        <w:rPr>
          <w:rFonts w:ascii="Times New Roman" w:hAnsi="Times New Roman"/>
          <w:b/>
        </w:rPr>
      </w:pPr>
      <w:r>
        <w:rPr>
          <w:rFonts w:ascii="Times New Roman" w:hAnsi="Times New Roman"/>
          <w:b/>
          <w:noProof/>
          <w:lang w:val="en-IN" w:eastAsia="en-IN"/>
        </w:rPr>
        <w:drawing>
          <wp:inline distT="0" distB="0" distL="0" distR="0">
            <wp:extent cx="2759075" cy="1884680"/>
            <wp:effectExtent l="19050" t="0" r="317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19017" t="31560" r="24466" b="18631"/>
                    <a:stretch>
                      <a:fillRect/>
                    </a:stretch>
                  </pic:blipFill>
                  <pic:spPr bwMode="auto">
                    <a:xfrm>
                      <a:off x="0" y="0"/>
                      <a:ext cx="2759075" cy="1884680"/>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jc w:val="center"/>
        <w:rPr>
          <w:rFonts w:ascii="Times New Roman" w:hAnsi="Times New Roman"/>
        </w:rPr>
      </w:pPr>
      <w:r w:rsidRPr="00B50A41">
        <w:rPr>
          <w:rFonts w:ascii="Times New Roman" w:hAnsi="Times New Roman"/>
          <w:b/>
        </w:rPr>
        <w:t>Table 3:</w:t>
      </w:r>
      <w:r w:rsidRPr="00B50A41">
        <w:rPr>
          <w:rFonts w:ascii="Times New Roman" w:hAnsi="Times New Roman"/>
        </w:rPr>
        <w:t xml:space="preserve"> </w:t>
      </w:r>
      <w:r w:rsidRPr="00B50A41">
        <w:rPr>
          <w:rFonts w:ascii="Times New Roman" w:hAnsi="Times New Roman"/>
          <w:b/>
        </w:rPr>
        <w:t>YSZ top coat Spraying Process Parameters for Process Parameters</w:t>
      </w:r>
    </w:p>
    <w:p w:rsidR="00E70538" w:rsidRPr="00B50A41" w:rsidRDefault="00E70538" w:rsidP="00E70538">
      <w:pPr>
        <w:spacing w:after="0" w:line="240" w:lineRule="auto"/>
        <w:jc w:val="both"/>
        <w:rPr>
          <w:rFonts w:ascii="Times New Roman" w:hAnsi="Times New Roman"/>
          <w:b/>
          <w:sz w:val="20"/>
          <w:szCs w:val="20"/>
        </w:rPr>
      </w:pPr>
      <w:r>
        <w:rPr>
          <w:rFonts w:ascii="Times New Roman" w:hAnsi="Times New Roman"/>
          <w:b/>
          <w:noProof/>
          <w:sz w:val="20"/>
          <w:szCs w:val="20"/>
          <w:lang w:val="en-IN" w:eastAsia="en-IN"/>
        </w:rPr>
        <w:drawing>
          <wp:inline distT="0" distB="0" distL="0" distR="0">
            <wp:extent cx="2759075" cy="1797050"/>
            <wp:effectExtent l="19050" t="0" r="317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l="18803" t="22813" r="24359" b="22243"/>
                    <a:stretch>
                      <a:fillRect/>
                    </a:stretch>
                  </pic:blipFill>
                  <pic:spPr bwMode="auto">
                    <a:xfrm>
                      <a:off x="0" y="0"/>
                      <a:ext cx="2759075" cy="1797050"/>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2.2. Thermal Fatigue Test</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The thermal fatigue test was done in a thermal cyclic furnace. The specimens were tested at 600</w:t>
      </w:r>
      <w:r w:rsidRPr="00B50A41">
        <w:rPr>
          <w:rFonts w:ascii="Times New Roman" w:hAnsi="Times New Roman"/>
          <w:sz w:val="20"/>
          <w:szCs w:val="20"/>
          <w:vertAlign w:val="superscript"/>
        </w:rPr>
        <w:t>0</w:t>
      </w:r>
      <w:r w:rsidRPr="00B50A41">
        <w:rPr>
          <w:rFonts w:ascii="Times New Roman" w:hAnsi="Times New Roman"/>
          <w:sz w:val="20"/>
          <w:szCs w:val="20"/>
        </w:rPr>
        <w:t xml:space="preserve">C highest temperature. Heating and cooling time were kept as 10 minutes. When the samples were cooled to the ambient temperature, they were taken out, dried and put into the high temperature furnace again, repeating the same process. More than 90% of the cracked regions of the surface of TBC systems </w:t>
      </w:r>
      <w:r w:rsidRPr="00B50A41">
        <w:rPr>
          <w:rFonts w:ascii="Times New Roman" w:hAnsi="Times New Roman"/>
          <w:sz w:val="20"/>
          <w:szCs w:val="20"/>
        </w:rPr>
        <w:lastRenderedPageBreak/>
        <w:t>were adapted as the criterion for the failure of the coating. The weight changes of the samples were measured to a precision of 0.5 mg by an analytical balance. Three number of specimens were tested and average was considered for analysis.</w:t>
      </w:r>
    </w:p>
    <w:p w:rsidR="00E70538" w:rsidRDefault="00E70538" w:rsidP="00E70538">
      <w:pPr>
        <w:spacing w:after="0" w:line="240" w:lineRule="auto"/>
        <w:rPr>
          <w:rFonts w:ascii="Times New Roman" w:hAnsi="Times New Roman"/>
          <w:b/>
          <w:sz w:val="20"/>
          <w:szCs w:val="20"/>
        </w:rPr>
      </w:pPr>
    </w:p>
    <w:p w:rsidR="00E70538" w:rsidRDefault="00E70538" w:rsidP="00E70538">
      <w:pPr>
        <w:numPr>
          <w:ilvl w:val="0"/>
          <w:numId w:val="1"/>
        </w:numPr>
        <w:spacing w:after="0" w:line="240" w:lineRule="auto"/>
        <w:ind w:left="630"/>
        <w:rPr>
          <w:rFonts w:ascii="Times New Roman" w:hAnsi="Times New Roman"/>
          <w:b/>
          <w:sz w:val="20"/>
          <w:szCs w:val="20"/>
        </w:rPr>
      </w:pPr>
      <w:r w:rsidRPr="00B50A41">
        <w:rPr>
          <w:rFonts w:ascii="Times New Roman" w:hAnsi="Times New Roman"/>
          <w:b/>
          <w:sz w:val="20"/>
          <w:szCs w:val="20"/>
        </w:rPr>
        <w:t>RESULTS AND DISCUSSION</w:t>
      </w:r>
    </w:p>
    <w:p w:rsidR="00E70538" w:rsidRPr="00B50A41" w:rsidRDefault="00E70538" w:rsidP="00E70538">
      <w:pPr>
        <w:spacing w:after="0" w:line="240" w:lineRule="auto"/>
        <w:rPr>
          <w:rFonts w:ascii="Times New Roman" w:hAnsi="Times New Roman"/>
          <w:b/>
          <w:sz w:val="20"/>
          <w:szCs w:val="20"/>
        </w:rPr>
      </w:pPr>
    </w:p>
    <w:p w:rsidR="00E70538" w:rsidRPr="00B50A41" w:rsidRDefault="00E70538" w:rsidP="00E70538">
      <w:pPr>
        <w:spacing w:after="0" w:line="240" w:lineRule="auto"/>
        <w:rPr>
          <w:rFonts w:ascii="Times New Roman" w:hAnsi="Times New Roman"/>
          <w:b/>
          <w:sz w:val="20"/>
          <w:szCs w:val="20"/>
        </w:rPr>
      </w:pPr>
      <w:r w:rsidRPr="00B50A41">
        <w:rPr>
          <w:rFonts w:ascii="Times New Roman" w:hAnsi="Times New Roman"/>
          <w:b/>
          <w:sz w:val="20"/>
          <w:szCs w:val="20"/>
        </w:rPr>
        <w:t xml:space="preserve">3.1. TBC system </w:t>
      </w:r>
      <w:r w:rsidRPr="00B50A41">
        <w:rPr>
          <w:rFonts w:ascii="Times New Roman" w:hAnsi="Times New Roman"/>
          <w:b/>
        </w:rPr>
        <w:t>Composition</w:t>
      </w:r>
      <w:r w:rsidRPr="00B50A41">
        <w:rPr>
          <w:rFonts w:ascii="Times New Roman" w:hAnsi="Times New Roman"/>
          <w:b/>
          <w:sz w:val="20"/>
          <w:szCs w:val="20"/>
        </w:rPr>
        <w:t xml:space="preserve"> of </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Microstructure of TBCoated alluminium alloys after thermal cycling till failure is shown in Fig. 1 (a and b). The failure of TBC coated surface on aluminium alloys under thermal fatigue conditions was found be in a cracking mode, which induces from coated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as well as bond coat. The micro-columnar grains encircled in </w:t>
      </w:r>
      <w:r w:rsidRPr="00B50A41">
        <w:rPr>
          <w:rFonts w:ascii="Times New Roman" w:hAnsi="Times New Roman"/>
          <w:b/>
          <w:sz w:val="20"/>
          <w:szCs w:val="20"/>
        </w:rPr>
        <w:t xml:space="preserve">Fig.2. </w:t>
      </w:r>
      <w:r w:rsidRPr="00B50A41">
        <w:rPr>
          <w:rFonts w:ascii="Times New Roman" w:hAnsi="Times New Roman"/>
          <w:sz w:val="20"/>
          <w:szCs w:val="20"/>
        </w:rPr>
        <w:t xml:space="preserve">was observed, which were solidified from the melted fraction of YSZ top coat powder. </w:t>
      </w:r>
    </w:p>
    <w:p w:rsidR="00E70538" w:rsidRDefault="00E70538" w:rsidP="00E70538">
      <w:pPr>
        <w:spacing w:after="0" w:line="240" w:lineRule="auto"/>
        <w:jc w:val="both"/>
        <w:rPr>
          <w:rFonts w:ascii="Times New Roman" w:hAnsi="Times New Roman"/>
          <w:b/>
          <w:sz w:val="20"/>
          <w:szCs w:val="20"/>
        </w:rPr>
      </w:pPr>
    </w:p>
    <w:p w:rsidR="00E70538" w:rsidRPr="00B50A41"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3.2. Thermal Fatigue behaviours of TBCs systems</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Square specimen were selected to consider the effect in practical application of thermal barrier coating (TBC) system, such as edges and corners in internal combustion (IC) engine piston. It can be seen from Fig. 1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not occur. After 52 cycles, gradual weight loss was observed indicating thermal degradation of coated specimens.  After 97 cycles, the sudden weight loss of samples was observed, which implied the coating damage via the cracking mode.</w:t>
      </w:r>
    </w:p>
    <w:p w:rsidR="00E70538" w:rsidRPr="00B50A41" w:rsidRDefault="00E70538" w:rsidP="00E70538">
      <w:pPr>
        <w:spacing w:after="0" w:line="240" w:lineRule="auto"/>
        <w:jc w:val="both"/>
        <w:rPr>
          <w:rFonts w:ascii="Times New Roman" w:hAnsi="Times New Roman"/>
          <w:sz w:val="20"/>
          <w:szCs w:val="20"/>
        </w:rPr>
      </w:pPr>
      <w:r>
        <w:rPr>
          <w:rFonts w:ascii="Times New Roman" w:hAnsi="Times New Roman"/>
          <w:noProof/>
          <w:sz w:val="20"/>
          <w:szCs w:val="20"/>
          <w:lang w:val="en-IN" w:eastAsia="en-IN"/>
        </w:rPr>
        <w:lastRenderedPageBreak/>
        <w:drawing>
          <wp:inline distT="0" distB="0" distL="0" distR="0">
            <wp:extent cx="2695575" cy="224218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29240" t="23334" r="32683" b="9525"/>
                    <a:stretch>
                      <a:fillRect/>
                    </a:stretch>
                  </pic:blipFill>
                  <pic:spPr bwMode="auto">
                    <a:xfrm>
                      <a:off x="0" y="0"/>
                      <a:ext cx="2695575" cy="224218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Fig.1. (a &amp; b) Optical Micrograph of Fractured plasma sprayed TBC specimens with thickness of 250µm after TF testing</w:t>
      </w:r>
    </w:p>
    <w:p w:rsidR="00E70538" w:rsidRPr="00B50A41" w:rsidRDefault="00E70538" w:rsidP="00E70538">
      <w:pPr>
        <w:spacing w:after="0" w:line="240" w:lineRule="auto"/>
        <w:jc w:val="both"/>
        <w:rPr>
          <w:rFonts w:ascii="Times New Roman" w:hAnsi="Times New Roman"/>
        </w:rPr>
      </w:pPr>
      <w:r>
        <w:rPr>
          <w:rFonts w:ascii="Times New Roman" w:hAnsi="Times New Roman"/>
          <w:noProof/>
          <w:lang w:val="en-IN" w:eastAsia="en-IN"/>
        </w:rPr>
        <w:drawing>
          <wp:inline distT="0" distB="0" distL="0" distR="0">
            <wp:extent cx="2743200" cy="19081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grayscl/>
                      <a:biLevel thresh="50000"/>
                    </a:blip>
                    <a:srcRect l="26566" t="33095" r="25967" b="18810"/>
                    <a:stretch>
                      <a:fillRect/>
                    </a:stretch>
                  </pic:blipFill>
                  <pic:spPr bwMode="auto">
                    <a:xfrm>
                      <a:off x="0" y="0"/>
                      <a:ext cx="2743200" cy="190817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Fig.2. FESEM micrograph of the fractured surface of as-sprayed YSZ TBC.</w:t>
      </w:r>
    </w:p>
    <w:p w:rsidR="00E70538" w:rsidRPr="00B50A41" w:rsidRDefault="00E70538" w:rsidP="00E70538">
      <w:pPr>
        <w:spacing w:after="0" w:line="240" w:lineRule="auto"/>
        <w:jc w:val="both"/>
        <w:rPr>
          <w:rFonts w:ascii="Times New Roman" w:hAnsi="Times New Roman"/>
        </w:rPr>
      </w:pPr>
      <w:r>
        <w:rPr>
          <w:rFonts w:ascii="Times New Roman" w:hAnsi="Times New Roman"/>
          <w:noProof/>
          <w:lang w:val="en-IN" w:eastAsia="en-IN"/>
        </w:rPr>
        <w:drawing>
          <wp:inline distT="0" distB="0" distL="0" distR="0">
            <wp:extent cx="2743200" cy="2663825"/>
            <wp:effectExtent l="19050" t="0" r="0" b="0"/>
            <wp:docPr id="6" name="Picture 3" descr="C:\Users\admin\Desktop\Desktop1\tfdiagramat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esktop1\tfdiagramat600.tif"/>
                    <pic:cNvPicPr>
                      <a:picLocks noChangeAspect="1" noChangeArrowheads="1"/>
                    </pic:cNvPicPr>
                  </pic:nvPicPr>
                  <pic:blipFill>
                    <a:blip r:embed="rId19"/>
                    <a:srcRect/>
                    <a:stretch>
                      <a:fillRect/>
                    </a:stretch>
                  </pic:blipFill>
                  <pic:spPr bwMode="auto">
                    <a:xfrm>
                      <a:off x="0" y="0"/>
                      <a:ext cx="2743200" cy="266382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Fig.3. Weight Change as a function of cycle number YSZ TBCs during thermal fatigue testing.</w:t>
      </w:r>
    </w:p>
    <w:p w:rsidR="00E70538" w:rsidRDefault="00E70538" w:rsidP="00E70538">
      <w:pPr>
        <w:spacing w:after="0" w:line="240" w:lineRule="auto"/>
        <w:jc w:val="both"/>
        <w:rPr>
          <w:rFonts w:ascii="Times New Roman" w:hAnsi="Times New Roman"/>
          <w:b/>
        </w:rPr>
      </w:pPr>
    </w:p>
    <w:p w:rsidR="00E70538" w:rsidRDefault="00E70538" w:rsidP="00E70538">
      <w:pPr>
        <w:spacing w:after="0" w:line="240" w:lineRule="auto"/>
        <w:jc w:val="both"/>
        <w:rPr>
          <w:rFonts w:ascii="Times New Roman" w:hAnsi="Times New Roman"/>
          <w:b/>
        </w:rPr>
      </w:pPr>
      <w:r w:rsidRPr="00B50A41">
        <w:rPr>
          <w:rFonts w:ascii="Times New Roman" w:hAnsi="Times New Roman"/>
          <w:b/>
        </w:rPr>
        <w:t>CONCLUSIONS</w:t>
      </w:r>
    </w:p>
    <w:p w:rsidR="00E70538" w:rsidRPr="00B50A41" w:rsidRDefault="00E70538" w:rsidP="00E70538">
      <w:pPr>
        <w:spacing w:after="0" w:line="240" w:lineRule="auto"/>
        <w:jc w:val="both"/>
        <w:rPr>
          <w:rFonts w:ascii="Times New Roman" w:hAnsi="Times New Roman"/>
          <w:b/>
        </w:rPr>
      </w:pPr>
    </w:p>
    <w:p w:rsidR="00E70538" w:rsidRPr="00B50A41" w:rsidRDefault="00E70538" w:rsidP="00E70538">
      <w:pPr>
        <w:spacing w:after="0" w:line="240" w:lineRule="auto"/>
        <w:jc w:val="both"/>
        <w:rPr>
          <w:rFonts w:ascii="Times New Roman" w:hAnsi="Times New Roman"/>
          <w:sz w:val="20"/>
          <w:szCs w:val="20"/>
        </w:rPr>
      </w:pPr>
      <w:r w:rsidRPr="00B50A41">
        <w:rPr>
          <w:rFonts w:ascii="Times New Roman" w:hAnsi="Times New Roman"/>
          <w:sz w:val="20"/>
          <w:szCs w:val="20"/>
        </w:rPr>
        <w:t>Thermal fatigue behavior of plasma sprayed YSZ TBC system on 2024 AA was studied and major conclusions are as follows:</w:t>
      </w:r>
    </w:p>
    <w:p w:rsidR="00E70538" w:rsidRPr="00B50A41" w:rsidRDefault="00E70538" w:rsidP="00E70538">
      <w:pPr>
        <w:numPr>
          <w:ilvl w:val="0"/>
          <w:numId w:val="2"/>
        </w:numPr>
        <w:spacing w:after="0" w:line="240" w:lineRule="auto"/>
        <w:ind w:left="540"/>
        <w:jc w:val="both"/>
        <w:rPr>
          <w:rFonts w:ascii="Times New Roman" w:hAnsi="Times New Roman"/>
          <w:sz w:val="20"/>
          <w:szCs w:val="20"/>
        </w:rPr>
      </w:pPr>
      <w:r w:rsidRPr="00B50A41">
        <w:rPr>
          <w:rFonts w:ascii="Times New Roman" w:hAnsi="Times New Roman"/>
          <w:sz w:val="20"/>
          <w:szCs w:val="20"/>
        </w:rPr>
        <w:lastRenderedPageBreak/>
        <w:t>In all cases, the initial cracks were initiated at the edge/corner of the square specimens.</w:t>
      </w:r>
    </w:p>
    <w:p w:rsidR="00E70538" w:rsidRPr="00B50A41" w:rsidRDefault="00E70538" w:rsidP="00E70538">
      <w:pPr>
        <w:numPr>
          <w:ilvl w:val="0"/>
          <w:numId w:val="2"/>
        </w:numPr>
        <w:spacing w:after="0" w:line="240" w:lineRule="auto"/>
        <w:ind w:left="540"/>
        <w:jc w:val="both"/>
        <w:rPr>
          <w:rFonts w:ascii="Times New Roman" w:hAnsi="Times New Roman"/>
          <w:sz w:val="20"/>
          <w:szCs w:val="20"/>
        </w:rPr>
      </w:pPr>
      <w:r w:rsidRPr="00B50A41">
        <w:rPr>
          <w:rFonts w:ascii="Times New Roman" w:hAnsi="Times New Roman"/>
          <w:sz w:val="20"/>
          <w:szCs w:val="20"/>
        </w:rPr>
        <w:t>The failure of YSZ TBCs systems on 2024AA were observed due to the multiple cracks mode only. The results show four types of cracks formed in TBCs systems on 2024 AA, i.e., vertical cracks, horizontal crack, propagating crack, and penetrating crack [16]. In this article, vertical cracks and propagating cracks (or horizontal crack) emerged in YSZ based TBCs systems for 2024AA. The penetrating vertical cracks started penetrate from top coat to the substrate surface at 600</w:t>
      </w:r>
      <w:r w:rsidRPr="00B50A41">
        <w:rPr>
          <w:rFonts w:ascii="Times New Roman" w:hAnsi="Times New Roman"/>
          <w:sz w:val="20"/>
          <w:szCs w:val="20"/>
          <w:vertAlign w:val="superscript"/>
        </w:rPr>
        <w:t>0</w:t>
      </w:r>
      <w:r w:rsidRPr="00B50A41">
        <w:rPr>
          <w:rFonts w:ascii="Times New Roman" w:hAnsi="Times New Roman"/>
          <w:sz w:val="20"/>
          <w:szCs w:val="20"/>
        </w:rPr>
        <w:t>C.</w:t>
      </w:r>
    </w:p>
    <w:p w:rsidR="00E70538" w:rsidRDefault="00E70538" w:rsidP="00E70538">
      <w:pPr>
        <w:spacing w:after="0" w:line="240" w:lineRule="auto"/>
        <w:jc w:val="both"/>
        <w:rPr>
          <w:rFonts w:ascii="Times New Roman" w:hAnsi="Times New Roman"/>
          <w:b/>
          <w:sz w:val="20"/>
          <w:szCs w:val="20"/>
        </w:rPr>
      </w:pPr>
    </w:p>
    <w:p w:rsidR="00E70538"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 xml:space="preserve">ACKNOWLEDGMENTS </w:t>
      </w:r>
    </w:p>
    <w:p w:rsidR="00E70538" w:rsidRPr="00B50A41" w:rsidRDefault="00E70538" w:rsidP="00E70538">
      <w:pPr>
        <w:spacing w:after="0" w:line="240" w:lineRule="auto"/>
        <w:jc w:val="both"/>
        <w:rPr>
          <w:rFonts w:ascii="Times New Roman" w:hAnsi="Times New Roman"/>
          <w:b/>
          <w:sz w:val="20"/>
          <w:szCs w:val="20"/>
        </w:rPr>
      </w:pPr>
    </w:p>
    <w:p w:rsidR="00E70538" w:rsidRPr="001F374E"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TBC on diesel components such as valves,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w:t>
      </w:r>
      <w:r w:rsidRPr="00B50A41">
        <w:rPr>
          <w:rFonts w:ascii="Times New Roman" w:hAnsi="Times New Roman"/>
          <w:sz w:val="20"/>
          <w:szCs w:val="20"/>
        </w:rPr>
        <w:t xml:space="preserve">,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 (DMRL, Hyderabad) for their cooperation.</w:t>
      </w:r>
    </w:p>
    <w:p w:rsidR="00E70538" w:rsidRPr="001F374E" w:rsidRDefault="00E70538" w:rsidP="00E70538">
      <w:pPr>
        <w:spacing w:after="0" w:line="240" w:lineRule="auto"/>
        <w:jc w:val="both"/>
        <w:rPr>
          <w:rFonts w:ascii="Times New Roman" w:hAnsi="Times New Roman"/>
          <w:b/>
          <w:sz w:val="20"/>
          <w:szCs w:val="20"/>
        </w:rPr>
      </w:pPr>
    </w:p>
    <w:p w:rsidR="00E70538" w:rsidRDefault="00E70538" w:rsidP="00E70538">
      <w:pPr>
        <w:spacing w:after="0" w:line="240" w:lineRule="auto"/>
        <w:jc w:val="both"/>
        <w:rPr>
          <w:rFonts w:ascii="Times New Roman" w:hAnsi="Times New Roman"/>
          <w:b/>
        </w:rPr>
      </w:pPr>
      <w:r w:rsidRPr="001F374E">
        <w:rPr>
          <w:rFonts w:ascii="Times New Roman" w:hAnsi="Times New Roman"/>
          <w:b/>
          <w:sz w:val="20"/>
          <w:szCs w:val="20"/>
        </w:rPr>
        <w:t>REFERENCES</w:t>
      </w:r>
    </w:p>
    <w:p w:rsidR="00E70538" w:rsidRPr="001F374E" w:rsidRDefault="00E70538" w:rsidP="00E70538">
      <w:pPr>
        <w:spacing w:after="0" w:line="240" w:lineRule="auto"/>
        <w:jc w:val="both"/>
        <w:rPr>
          <w:rFonts w:ascii="Times New Roman" w:hAnsi="Times New Roman"/>
          <w:b/>
          <w:sz w:val="20"/>
          <w:szCs w:val="20"/>
        </w:rPr>
      </w:pPr>
    </w:p>
    <w:p w:rsidR="00E70538" w:rsidRPr="007D7929" w:rsidRDefault="00E62D67" w:rsidP="00E70538">
      <w:pPr>
        <w:numPr>
          <w:ilvl w:val="0"/>
          <w:numId w:val="3"/>
        </w:numPr>
        <w:spacing w:after="0" w:line="240" w:lineRule="auto"/>
        <w:ind w:left="270" w:hanging="270"/>
        <w:jc w:val="both"/>
        <w:rPr>
          <w:rFonts w:ascii="Times New Roman" w:hAnsi="Times New Roman"/>
          <w:sz w:val="16"/>
          <w:szCs w:val="16"/>
        </w:rPr>
      </w:pPr>
      <w:hyperlink r:id="rId20" w:history="1">
        <w:r w:rsidR="00E70538" w:rsidRPr="007D7929">
          <w:rPr>
            <w:rFonts w:ascii="Times New Roman" w:eastAsia="Times New Roman" w:hAnsi="Times New Roman"/>
            <w:sz w:val="16"/>
            <w:szCs w:val="16"/>
          </w:rPr>
          <w:t>C.R.C. Lima</w:t>
        </w:r>
      </w:hyperlink>
      <w:r w:rsidR="00E70538" w:rsidRPr="007D7929">
        <w:rPr>
          <w:rFonts w:ascii="Times New Roman" w:eastAsia="Times New Roman" w:hAnsi="Times New Roman"/>
          <w:sz w:val="16"/>
          <w:szCs w:val="16"/>
        </w:rPr>
        <w:t xml:space="preserve">, </w:t>
      </w:r>
      <w:hyperlink r:id="rId21" w:history="1">
        <w:r w:rsidR="00E70538" w:rsidRPr="007D7929">
          <w:rPr>
            <w:rFonts w:ascii="Times New Roman" w:eastAsia="Times New Roman" w:hAnsi="Times New Roman"/>
            <w:sz w:val="16"/>
            <w:szCs w:val="16"/>
          </w:rPr>
          <w:t>J.M. Guilemany</w:t>
        </w:r>
      </w:hyperlink>
      <w:r w:rsidR="00E70538" w:rsidRPr="007D7929">
        <w:rPr>
          <w:rFonts w:ascii="Times New Roman" w:eastAsia="Times New Roman" w:hAnsi="Times New Roman"/>
          <w:sz w:val="16"/>
          <w:szCs w:val="16"/>
        </w:rPr>
        <w:t>,</w:t>
      </w:r>
      <w:r w:rsidR="00E70538" w:rsidRPr="007D7929">
        <w:rPr>
          <w:rFonts w:ascii="Times New Roman" w:hAnsi="Times New Roman"/>
          <w:sz w:val="16"/>
          <w:szCs w:val="16"/>
        </w:rPr>
        <w:t xml:space="preserve"> “Adhesion improvements of Thermal Barrier Coatings with HVOF thermally sprayed bond coats”, </w:t>
      </w:r>
      <w:hyperlink r:id="rId22" w:tooltip="Go to Surface and Coatings Technology on ScienceDirect" w:history="1">
        <w:r w:rsidR="00E70538" w:rsidRPr="007D7929">
          <w:rPr>
            <w:rFonts w:ascii="Times New Roman" w:eastAsia="Times New Roman" w:hAnsi="Times New Roman"/>
            <w:sz w:val="16"/>
            <w:szCs w:val="16"/>
          </w:rPr>
          <w:t>Surface and Coatings Technology</w:t>
        </w:r>
      </w:hyperlink>
      <w:r w:rsidR="00E70538" w:rsidRPr="007D7929">
        <w:rPr>
          <w:rFonts w:ascii="Times New Roman" w:eastAsia="Times New Roman" w:hAnsi="Times New Roman"/>
          <w:sz w:val="16"/>
          <w:szCs w:val="16"/>
        </w:rPr>
        <w:t>, vol.201,no.8,pp.4694–4701,15 January 2007,.</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 xml:space="preserve"> Esfahanian, A. Javaheri, and M. Ghaffarpour, “</w:t>
      </w:r>
      <w:hyperlink r:id="rId23"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w:t>
      </w:r>
      <w:r w:rsidRPr="00D85E58">
        <w:rPr>
          <w:rFonts w:ascii="Times New Roman" w:hAnsi="Times New Roman"/>
          <w:sz w:val="16"/>
          <w:szCs w:val="16"/>
        </w:rPr>
        <w:t xml:space="preserve"> </w:t>
      </w:r>
      <w:r w:rsidRPr="007D7929">
        <w:rPr>
          <w:rFonts w:ascii="Times New Roman" w:hAnsi="Times New Roman"/>
          <w:sz w:val="16"/>
          <w:szCs w:val="16"/>
        </w:rPr>
        <w:t>Esfahanian, A. Javaheri, and M. Ghaffarpour, “</w:t>
      </w:r>
      <w:hyperlink r:id="rId24"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xml:space="preserve">”, Applied Thermal Engineering,vol.26,pp.277-287,2006.”, </w:t>
      </w:r>
      <w:hyperlink r:id="rId25"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 203, pp. 91-98, 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Anna Gilbert,</w:t>
      </w:r>
      <w:r w:rsidRPr="00D85E58">
        <w:rPr>
          <w:rFonts w:ascii="Times New Roman" w:hAnsi="Times New Roman"/>
          <w:sz w:val="16"/>
          <w:szCs w:val="16"/>
        </w:rPr>
        <w:t xml:space="preserve"> </w:t>
      </w:r>
      <w:r w:rsidRPr="007D7929">
        <w:rPr>
          <w:rFonts w:ascii="Times New Roman" w:hAnsi="Times New Roman"/>
          <w:sz w:val="16"/>
          <w:szCs w:val="16"/>
        </w:rPr>
        <w:t>Esfahanian, A. Javaheri, and M. Ghaffarpour, “</w:t>
      </w:r>
      <w:hyperlink r:id="rId26"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xml:space="preserve">”, Applied Thermal Engineering,vol.26,pp.277-287,2006., </w:t>
      </w:r>
      <w:hyperlink r:id="rId27"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,vol..202,pp.2152-2161,2008.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T. Hejwowski, and A. Weronski, “</w:t>
      </w:r>
      <w:hyperlink r:id="rId28" w:history="1">
        <w:r w:rsidRPr="007D7929">
          <w:rPr>
            <w:rFonts w:ascii="Times New Roman" w:hAnsi="Times New Roman"/>
            <w:sz w:val="16"/>
            <w:szCs w:val="16"/>
          </w:rPr>
          <w:t>The effect of thermal barrier coatings on diesel engine performance</w:t>
        </w:r>
      </w:hyperlink>
      <w:r w:rsidRPr="007D7929">
        <w:rPr>
          <w:rFonts w:ascii="Times New Roman" w:hAnsi="Times New Roman"/>
          <w:sz w:val="16"/>
          <w:szCs w:val="16"/>
        </w:rPr>
        <w:t>”, Vacuum,vol.65, pp.427-432, 2002.</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E. Buyukkaya, “</w:t>
      </w:r>
      <w:hyperlink r:id="rId29" w:history="1">
        <w:r w:rsidRPr="007D7929">
          <w:rPr>
            <w:rFonts w:ascii="Times New Roman" w:hAnsi="Times New Roman"/>
            <w:sz w:val="16"/>
            <w:szCs w:val="16"/>
          </w:rPr>
          <w:t>Thermal analysis of functionally graded coating Al-Si alloy and steel pistons</w:t>
        </w:r>
      </w:hyperlink>
      <w:r w:rsidRPr="007D7929">
        <w:rPr>
          <w:rFonts w:ascii="Times New Roman" w:hAnsi="Times New Roman"/>
          <w:sz w:val="16"/>
          <w:szCs w:val="16"/>
        </w:rPr>
        <w:t xml:space="preserve">”, </w:t>
      </w:r>
      <w:hyperlink r:id="rId30"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,vol.202,pp. 3856-3865, 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E. Esfahanian, A. Javaheri, and M. Ghaffarpour, “</w:t>
      </w:r>
      <w:hyperlink r:id="rId31"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Engineering,vol.26,pp.277-287,2006.,pp.398-402,2007.</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M. Cerit, V. Ayhan, A. Parlak, and H. Yasar, “</w:t>
      </w:r>
      <w:hyperlink r:id="rId32" w:history="1">
        <w:r w:rsidRPr="007D7929">
          <w:rPr>
            <w:rFonts w:ascii="Times New Roman" w:hAnsi="Times New Roman"/>
            <w:sz w:val="16"/>
            <w:szCs w:val="16"/>
          </w:rPr>
          <w:t>Thermal analysis of a partially ceramic coated piston: Effect on cold start HC emission in a spark ignition engine</w:t>
        </w:r>
      </w:hyperlink>
      <w:r w:rsidRPr="007D7929">
        <w:rPr>
          <w:rFonts w:ascii="Times New Roman" w:hAnsi="Times New Roman"/>
          <w:sz w:val="16"/>
          <w:szCs w:val="16"/>
        </w:rPr>
        <w:t xml:space="preserve">”, Applied Thermal Engineering,vol. 31,no. 2 –3,pp.336-341,2011. </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 xml:space="preserve">Michael Anderson Marr, “An Investigation of Metal and Ceramic Thermal Barrier Coatings in a Spark-Ignition </w:t>
      </w:r>
      <w:r w:rsidRPr="007D7929">
        <w:rPr>
          <w:rFonts w:ascii="Times New Roman" w:hAnsi="Times New Roman"/>
          <w:sz w:val="16"/>
          <w:szCs w:val="16"/>
        </w:rPr>
        <w:lastRenderedPageBreak/>
        <w:t>Engine”, M.S thesis, Mechanical and Industrial Engineering, University of Toronto, 2009.</w:t>
      </w:r>
    </w:p>
    <w:p w:rsidR="00E70538" w:rsidRPr="007D7929" w:rsidRDefault="00E70538" w:rsidP="00E70538">
      <w:pPr>
        <w:numPr>
          <w:ilvl w:val="0"/>
          <w:numId w:val="3"/>
        </w:numPr>
        <w:tabs>
          <w:tab w:val="left" w:pos="270"/>
          <w:tab w:val="left" w:pos="450"/>
        </w:tabs>
        <w:spacing w:after="0" w:line="240" w:lineRule="auto"/>
        <w:ind w:left="270" w:hanging="270"/>
        <w:jc w:val="both"/>
        <w:rPr>
          <w:rFonts w:ascii="Times New Roman" w:hAnsi="Times New Roman"/>
          <w:sz w:val="16"/>
          <w:szCs w:val="16"/>
        </w:rPr>
      </w:pPr>
      <w:r w:rsidRPr="007D7929">
        <w:rPr>
          <w:rFonts w:ascii="Times New Roman" w:hAnsi="Times New Roman"/>
          <w:sz w:val="16"/>
          <w:szCs w:val="16"/>
        </w:rPr>
        <w:t>V. Esfahanian, A. Javaheri, and M. Ghaffarpour, “</w:t>
      </w:r>
      <w:hyperlink r:id="rId33"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Engineering,vol.26,pp.277-287,2006.</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Muhammet Cerit, “Thermo mechanical analysis of a partially ceramic coated piston used in an SI engine”, Surface &amp; Coatings Technology,vol.205,</w:t>
      </w:r>
      <w:r>
        <w:rPr>
          <w:rFonts w:ascii="Times New Roman" w:hAnsi="Times New Roman"/>
          <w:sz w:val="16"/>
          <w:szCs w:val="16"/>
        </w:rPr>
        <w:t xml:space="preserve"> </w:t>
      </w:r>
      <w:r w:rsidRPr="007D7929">
        <w:rPr>
          <w:rFonts w:ascii="Times New Roman" w:hAnsi="Times New Roman"/>
          <w:sz w:val="16"/>
          <w:szCs w:val="16"/>
        </w:rPr>
        <w:t>pp.</w:t>
      </w:r>
      <w:r>
        <w:rPr>
          <w:rFonts w:ascii="Times New Roman" w:hAnsi="Times New Roman"/>
          <w:sz w:val="16"/>
          <w:szCs w:val="16"/>
        </w:rPr>
        <w:t xml:space="preserve"> </w:t>
      </w:r>
      <w:r w:rsidRPr="007D7929">
        <w:rPr>
          <w:rFonts w:ascii="Times New Roman" w:hAnsi="Times New Roman"/>
          <w:sz w:val="16"/>
          <w:szCs w:val="16"/>
        </w:rPr>
        <w:t>3499-3505,2011.</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 xml:space="preserve"> Daniel  W  Parker, “Thermal  barrier  coatings for  gas  turbines, automotive  engines  and  diesel  equipment”, Materials  &amp; Design, Vol.  13,no. 6,pp. 345-351,1992.</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H. Jamali, R. Mozafarinia, R. Shoja Razavi, and R. Ahmadi-Pidani, “Fabrication and Evaluation of Plasma-Sprayed Nanostructured and Conventional YSZ Thermal Barrier Coatings”, Ceramic International,vol.38, pp.6805-6712,2012.</w:t>
      </w:r>
    </w:p>
    <w:p w:rsidR="00E70538"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R. Ahmadi-Pidani, R. Shoja-Razavi, R. Mozafarinia, and H. Jamali, “Improving the thermal shock resistance of plasma sprayed CYSZ thermal barrier coatings by laser surface modification”, Optics and Lasers in Engineering,</w:t>
      </w:r>
      <w:r>
        <w:rPr>
          <w:rFonts w:ascii="Times New Roman" w:hAnsi="Times New Roman"/>
          <w:sz w:val="16"/>
          <w:szCs w:val="16"/>
        </w:rPr>
        <w:t xml:space="preserve"> </w:t>
      </w:r>
      <w:r w:rsidRPr="007D7929">
        <w:rPr>
          <w:rFonts w:ascii="Times New Roman" w:hAnsi="Times New Roman"/>
          <w:sz w:val="16"/>
          <w:szCs w:val="16"/>
        </w:rPr>
        <w:t>vol.50,</w:t>
      </w:r>
      <w:r>
        <w:rPr>
          <w:rFonts w:ascii="Times New Roman" w:hAnsi="Times New Roman"/>
          <w:sz w:val="16"/>
          <w:szCs w:val="16"/>
        </w:rPr>
        <w:t xml:space="preserve"> </w:t>
      </w:r>
      <w:r w:rsidRPr="007D7929">
        <w:rPr>
          <w:rFonts w:ascii="Times New Roman" w:hAnsi="Times New Roman"/>
          <w:sz w:val="16"/>
          <w:szCs w:val="16"/>
        </w:rPr>
        <w:t>pp.780–786,2012.</w:t>
      </w: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Pr="007D7929" w:rsidRDefault="00E70538" w:rsidP="00E70538">
      <w:pPr>
        <w:numPr>
          <w:ilvl w:val="0"/>
          <w:numId w:val="3"/>
        </w:numPr>
        <w:tabs>
          <w:tab w:val="left" w:pos="27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C. Giolli, A. Scrivani, G. Rizzi, F. Borgioli, G. Bolelli, and L. Lusvarghi, “Failure mechanism for thermal fatigue of thermal barrier coating systems”, Journal of Thermal Spray Technology,vol.18,pp.223–230,2009.</w:t>
      </w:r>
    </w:p>
    <w:p w:rsidR="00E70538" w:rsidRDefault="00E70538" w:rsidP="00E70538">
      <w:pPr>
        <w:numPr>
          <w:ilvl w:val="0"/>
          <w:numId w:val="3"/>
        </w:numPr>
        <w:tabs>
          <w:tab w:val="left" w:pos="27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 xml:space="preserve">C. Zhou, Q. Zhang, and Y. Li, “Thermal shock behavior of nanostructured and microstructured thermal barrier coatings on a Fe-based alloy”, Surface &amp; Coatings Technology,vol.217,pp. 70–75,2013.  </w:t>
      </w:r>
    </w:p>
    <w:p w:rsidR="00E70538" w:rsidRDefault="00E70538" w:rsidP="00E70538">
      <w:pPr>
        <w:tabs>
          <w:tab w:val="left" w:pos="270"/>
        </w:tabs>
        <w:spacing w:after="0" w:line="240" w:lineRule="auto"/>
        <w:jc w:val="both"/>
        <w:rPr>
          <w:rFonts w:ascii="Times New Roman" w:hAnsi="Times New Roman"/>
          <w:sz w:val="16"/>
          <w:szCs w:val="16"/>
        </w:rPr>
      </w:pPr>
    </w:p>
    <w:p w:rsidR="00E70538" w:rsidRDefault="00E70538" w:rsidP="00E70538">
      <w:pPr>
        <w:tabs>
          <w:tab w:val="left" w:pos="270"/>
        </w:tabs>
        <w:spacing w:after="0" w:line="240" w:lineRule="auto"/>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Pr="00DD2309" w:rsidRDefault="00E70538" w:rsidP="00E70538">
      <w:pPr>
        <w:spacing w:after="0" w:line="240" w:lineRule="auto"/>
        <w:ind w:left="-180"/>
        <w:jc w:val="both"/>
        <w:rPr>
          <w:rFonts w:ascii="Times New Roman" w:hAnsi="Times New Roman"/>
          <w:sz w:val="20"/>
          <w:szCs w:val="20"/>
        </w:rPr>
      </w:pPr>
      <w:r w:rsidRPr="00DD2309">
        <w:rPr>
          <w:rFonts w:ascii="Times New Roman" w:hAnsi="Times New Roman"/>
          <w:sz w:val="20"/>
          <w:szCs w:val="20"/>
        </w:rPr>
        <w:sym w:font="Wingdings" w:char="F0AB"/>
      </w:r>
      <w:r w:rsidRPr="00DD2309">
        <w:rPr>
          <w:rFonts w:ascii="Times New Roman" w:hAnsi="Times New Roman"/>
          <w:sz w:val="20"/>
          <w:szCs w:val="20"/>
        </w:rPr>
        <w:sym w:font="Wingdings" w:char="F0AB"/>
      </w:r>
      <w:r w:rsidRPr="00DD2309">
        <w:rPr>
          <w:rFonts w:ascii="Times New Roman" w:hAnsi="Times New Roman"/>
          <w:sz w:val="20"/>
          <w:szCs w:val="20"/>
        </w:rPr>
        <w:sym w:font="Wingdings" w:char="F0AB"/>
      </w:r>
    </w:p>
    <w:p w:rsidR="007D5B47" w:rsidRPr="00E70538" w:rsidRDefault="007D5B47">
      <w:pPr>
        <w:rPr>
          <w:b/>
        </w:rPr>
      </w:pPr>
    </w:p>
    <w:sectPr w:rsidR="007D5B47" w:rsidRPr="00E70538" w:rsidSect="002A1272">
      <w:type w:val="continuous"/>
      <w:pgSz w:w="11909" w:h="16834" w:code="9"/>
      <w:pgMar w:top="1440" w:right="1440" w:bottom="1440" w:left="1440" w:header="1152"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30D" w:rsidRDefault="0018130D" w:rsidP="00E62D67">
      <w:pPr>
        <w:spacing w:after="0" w:line="240" w:lineRule="auto"/>
      </w:pPr>
      <w:r>
        <w:separator/>
      </w:r>
    </w:p>
  </w:endnote>
  <w:endnote w:type="continuationSeparator" w:id="1">
    <w:p w:rsidR="0018130D" w:rsidRDefault="0018130D" w:rsidP="00E62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1813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4E" w:rsidRPr="0040414E" w:rsidRDefault="00E62D67">
    <w:pPr>
      <w:jc w:val="center"/>
      <w:rPr>
        <w:rFonts w:ascii="Times New Roman" w:hAnsi="Times New Roman"/>
        <w:b/>
        <w:sz w:val="16"/>
      </w:rPr>
    </w:pPr>
    <w:r w:rsidRPr="0040414E">
      <w:rPr>
        <w:rFonts w:ascii="Times New Roman" w:hAnsi="Times New Roman"/>
        <w:b/>
        <w:sz w:val="16"/>
      </w:rPr>
      <w:fldChar w:fldCharType="begin"/>
    </w:r>
    <w:r w:rsidR="006B0C4D" w:rsidRPr="0040414E">
      <w:rPr>
        <w:rFonts w:ascii="Times New Roman" w:hAnsi="Times New Roman"/>
        <w:b/>
        <w:sz w:val="16"/>
      </w:rPr>
      <w:instrText xml:space="preserve"> PAGE   \* MERGEFORMAT </w:instrText>
    </w:r>
    <w:r w:rsidRPr="0040414E">
      <w:rPr>
        <w:rFonts w:ascii="Times New Roman" w:hAnsi="Times New Roman"/>
        <w:b/>
        <w:sz w:val="16"/>
      </w:rPr>
      <w:fldChar w:fldCharType="separate"/>
    </w:r>
    <w:r w:rsidR="002541FA">
      <w:rPr>
        <w:rFonts w:ascii="Times New Roman" w:hAnsi="Times New Roman"/>
        <w:b/>
        <w:noProof/>
        <w:sz w:val="16"/>
      </w:rPr>
      <w:t>1</w:t>
    </w:r>
    <w:r w:rsidRPr="0040414E">
      <w:rPr>
        <w:rFonts w:ascii="Times New Roman" w:hAnsi="Times New Roman"/>
        <w:b/>
        <w:sz w:val="16"/>
      </w:rPr>
      <w:fldChar w:fldCharType="end"/>
    </w:r>
  </w:p>
  <w:p w:rsidR="002A1272" w:rsidRPr="0040414E" w:rsidRDefault="0018130D" w:rsidP="0040414E">
    <w:pP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1813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30D" w:rsidRDefault="0018130D" w:rsidP="00E62D67">
      <w:pPr>
        <w:spacing w:after="0" w:line="240" w:lineRule="auto"/>
      </w:pPr>
      <w:r>
        <w:separator/>
      </w:r>
    </w:p>
  </w:footnote>
  <w:footnote w:type="continuationSeparator" w:id="1">
    <w:p w:rsidR="0018130D" w:rsidRDefault="0018130D" w:rsidP="00E62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1813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72" w:rsidRPr="002A1272" w:rsidRDefault="00E62D67" w:rsidP="002A1272">
    <w:pPr>
      <w:spacing w:after="0" w:line="240" w:lineRule="auto"/>
      <w:jc w:val="center"/>
      <w:rPr>
        <w:sz w:val="16"/>
        <w:szCs w:val="16"/>
      </w:rPr>
    </w:pPr>
    <w:sdt>
      <w:sdtPr>
        <w:rPr>
          <w:rFonts w:ascii="Times New Roman" w:hAnsi="Times New Roman"/>
          <w:sz w:val="16"/>
          <w:szCs w:val="16"/>
        </w:rPr>
        <w:id w:val="12589221"/>
        <w:docPartObj>
          <w:docPartGallery w:val="Watermarks"/>
          <w:docPartUnique/>
        </w:docPartObj>
      </w:sdtPr>
      <w:sdtContent>
        <w:r w:rsidRPr="00E62D67">
          <w:rPr>
            <w:rFonts w:ascii="Times New Roman" w:hAnsi="Times New Roman"/>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5892" o:spid="_x0000_s2050" type="#_x0000_t136" style="position:absolute;left:0;text-align:left;margin-left:0;margin-top:0;width:445.55pt;height:190.95pt;rotation:315;z-index:-251655168;mso-position-horizontal:center;mso-position-horizontal-relative:margin;mso-position-vertical:center;mso-position-vertical-relative:margin" o:allowincell="f" fillcolor="#00b0f0" stroked="f">
              <v:fill opacity=".5"/>
              <v:textpath style="font-family:&quot;Calibri&quot;;font-size:1pt" string="THE IIER"/>
              <w10:wrap anchorx="margin" anchory="margin"/>
            </v:shape>
          </w:pict>
        </w:r>
      </w:sdtContent>
    </w:sdt>
    <w:r w:rsidRPr="00E62D67">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2049" type="#_x0000_t32" style="position:absolute;left:0;text-align:left;margin-left:0;margin-top:10.8pt;width:467.05pt;height:0;z-index:251660288;mso-position-horizontal:center;mso-position-horizontal-relative:text;mso-position-vertical-relative:text" o:connectortype="straight"/>
      </w:pict>
    </w:r>
    <w:r w:rsidR="006B0C4D" w:rsidRPr="002A1272">
      <w:rPr>
        <w:rFonts w:ascii="Times New Roman" w:hAnsi="Times New Roman"/>
        <w:sz w:val="16"/>
        <w:szCs w:val="16"/>
      </w:rPr>
      <w:t>Study On Thermal Fatigue Behaviour Of Plasma Sprayed Yttria-Zirconia Thermal Barrier Coatings (TBCS) Systems On Aluminium Alloy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1813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38AE"/>
    <w:multiLevelType w:val="multilevel"/>
    <w:tmpl w:val="1E0AB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rsids>
    <w:rsidRoot w:val="00E70538"/>
    <w:rsid w:val="0018130D"/>
    <w:rsid w:val="002541FA"/>
    <w:rsid w:val="006B0C4D"/>
    <w:rsid w:val="007D5B47"/>
    <w:rsid w:val="00E62D67"/>
    <w:rsid w:val="00E705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3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www.sciencedirect.com/science/article/pii/S1359431105001523" TargetMode="External"/><Relationship Id="rId3" Type="http://schemas.openxmlformats.org/officeDocument/2006/relationships/styles" Target="styles.xml"/><Relationship Id="rId21" Type="http://schemas.openxmlformats.org/officeDocument/2006/relationships/hyperlink" Target="http://www.sciencedirect.com/science/article/pii/S02578972060131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www.sciencedirect.com/science/journal/02578972" TargetMode="External"/><Relationship Id="rId33" Type="http://schemas.openxmlformats.org/officeDocument/2006/relationships/hyperlink" Target="http://www.sciencedirect.com/science/article/pii/S1359431105001523" TargetMode="External"/><Relationship Id="rId2" Type="http://schemas.openxmlformats.org/officeDocument/2006/relationships/numbering" Target="numbering.xml"/><Relationship Id="rId16" Type="http://schemas.openxmlformats.org/officeDocument/2006/relationships/image" Target="NULL"/><Relationship Id="rId20" Type="http://schemas.openxmlformats.org/officeDocument/2006/relationships/hyperlink" Target="http://www.sciencedirect.com/science/article/pii/S0257897206013120" TargetMode="External"/><Relationship Id="rId29" Type="http://schemas.openxmlformats.org/officeDocument/2006/relationships/hyperlink" Target="http://www.sciencedirect.com/science/article/pii/S0257897208000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ciencedirect.com/science/article/pii/S1359431105001523" TargetMode="External"/><Relationship Id="rId32" Type="http://schemas.openxmlformats.org/officeDocument/2006/relationships/hyperlink" Target="http://www.sciencedirect.com/science/article/pii/S1359431110004023"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sciencedirect.com/science/article/pii/S1359431105001523" TargetMode="External"/><Relationship Id="rId28" Type="http://schemas.openxmlformats.org/officeDocument/2006/relationships/hyperlink" Target="http://www.sciencedirect.com/science/article/pii/S0042207X01004523"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sciencedirect.com/science/article/pii/S135943110500152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NULL"/><Relationship Id="rId22" Type="http://schemas.openxmlformats.org/officeDocument/2006/relationships/hyperlink" Target="http://www.sciencedirect.com/science/journal/02578972" TargetMode="External"/><Relationship Id="rId27" Type="http://schemas.openxmlformats.org/officeDocument/2006/relationships/hyperlink" Target="http://www.sciencedirect.com/science/journal/02578972" TargetMode="External"/><Relationship Id="rId30" Type="http://schemas.openxmlformats.org/officeDocument/2006/relationships/hyperlink" Target="http://www.sciencedirect.com/science/journal/0257897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9D61A-5B2C-437D-95AB-157C3078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sanjeeb Dakhinaray</dc:creator>
  <cp:lastModifiedBy>office laptop</cp:lastModifiedBy>
  <cp:revision>2</cp:revision>
  <dcterms:created xsi:type="dcterms:W3CDTF">2015-03-23T07:33:00Z</dcterms:created>
  <dcterms:modified xsi:type="dcterms:W3CDTF">2015-03-23T07:33:00Z</dcterms:modified>
</cp:coreProperties>
</file>